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0108" w14:textId="77777777" w:rsidR="00E34C25" w:rsidRPr="00E34C25" w:rsidRDefault="00E34C25" w:rsidP="00E34C25">
      <w:pPr>
        <w:spacing w:after="0" w:line="240" w:lineRule="auto"/>
        <w:rPr>
          <w:color w:val="00B050"/>
        </w:rPr>
      </w:pPr>
      <w:r w:rsidRPr="00E34C25">
        <w:rPr>
          <w:color w:val="00B050"/>
        </w:rPr>
        <w:t>31 October - 03 November 2018</w:t>
      </w:r>
    </w:p>
    <w:p w14:paraId="485B8971" w14:textId="77777777" w:rsidR="00E34C25" w:rsidRPr="00E34C25" w:rsidRDefault="00E34C25" w:rsidP="00E34C25">
      <w:pPr>
        <w:spacing w:after="0" w:line="240" w:lineRule="auto"/>
        <w:rPr>
          <w:color w:val="00B050"/>
        </w:rPr>
      </w:pPr>
      <w:r w:rsidRPr="00E34C25">
        <w:rPr>
          <w:color w:val="00B050"/>
        </w:rPr>
        <w:t>Urban Language Research</w:t>
      </w:r>
    </w:p>
    <w:p w14:paraId="7AB47F5A" w14:textId="77777777" w:rsidR="00E34C25" w:rsidRPr="00E34C25" w:rsidRDefault="00E34C25" w:rsidP="00E34C25">
      <w:pPr>
        <w:spacing w:after="0" w:line="240" w:lineRule="auto"/>
        <w:rPr>
          <w:color w:val="00B050"/>
        </w:rPr>
      </w:pPr>
      <w:r w:rsidRPr="00E34C25">
        <w:rPr>
          <w:color w:val="00B050"/>
        </w:rPr>
        <w:t>Variation - Contact - Perception</w:t>
      </w:r>
    </w:p>
    <w:p w14:paraId="79868E96" w14:textId="77777777" w:rsidR="00E34C25" w:rsidRPr="00E34C25" w:rsidRDefault="00E34C25" w:rsidP="00E34C25">
      <w:pPr>
        <w:spacing w:after="0" w:line="240" w:lineRule="auto"/>
        <w:rPr>
          <w:color w:val="00B050"/>
        </w:rPr>
      </w:pPr>
      <w:r w:rsidRPr="00E34C25">
        <w:rPr>
          <w:color w:val="00B050"/>
        </w:rPr>
        <w:t>An International Conference at the University of Graz</w:t>
      </w:r>
    </w:p>
    <w:p w14:paraId="3A190A1A" w14:textId="77777777" w:rsidR="00E34C25" w:rsidRPr="00E34C25" w:rsidRDefault="00BC7BD9" w:rsidP="00E34C2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hyperlink r:id="rId5" w:history="1">
        <w:r w:rsidR="00E34C25" w:rsidRPr="00E34C25">
          <w:rPr>
            <w:rStyle w:val="Hyperlink"/>
            <w:rFonts w:ascii="Arial" w:eastAsia="Times New Roman" w:hAnsi="Arial" w:cs="Arial"/>
            <w:color w:val="00B050"/>
            <w:sz w:val="24"/>
            <w:szCs w:val="24"/>
            <w:lang w:eastAsia="en-GB"/>
          </w:rPr>
          <w:t>https://urbanlanguage2018.uni-graz.at/en/abstracts/</w:t>
        </w:r>
      </w:hyperlink>
    </w:p>
    <w:p w14:paraId="7B728C1F" w14:textId="77777777" w:rsidR="00E34C25" w:rsidRPr="00E34C25" w:rsidRDefault="00E34C25" w:rsidP="00E34C25">
      <w:pPr>
        <w:spacing w:after="0" w:line="240" w:lineRule="auto"/>
        <w:jc w:val="both"/>
        <w:rPr>
          <w:rFonts w:cs="Times New Roman"/>
          <w:color w:val="00B050"/>
          <w:sz w:val="24"/>
          <w:szCs w:val="24"/>
        </w:rPr>
      </w:pPr>
      <w:bookmarkStart w:id="0" w:name="_GoBack"/>
      <w:bookmarkEnd w:id="0"/>
    </w:p>
    <w:p w14:paraId="74767745" w14:textId="77777777" w:rsidR="0073474E" w:rsidRPr="00861259" w:rsidRDefault="000B0562" w:rsidP="00861259">
      <w:pPr>
        <w:jc w:val="center"/>
        <w:rPr>
          <w:rFonts w:cs="Times New Roman"/>
          <w:b/>
          <w:sz w:val="24"/>
          <w:szCs w:val="24"/>
        </w:rPr>
      </w:pPr>
      <w:r w:rsidRPr="00861259">
        <w:rPr>
          <w:rFonts w:cs="Times New Roman"/>
          <w:b/>
          <w:sz w:val="24"/>
          <w:szCs w:val="24"/>
        </w:rPr>
        <w:t xml:space="preserve">Media perception of </w:t>
      </w:r>
      <w:r w:rsidR="0053348B" w:rsidRPr="00861259">
        <w:rPr>
          <w:rFonts w:cs="Times New Roman"/>
          <w:b/>
          <w:sz w:val="24"/>
          <w:szCs w:val="24"/>
        </w:rPr>
        <w:t xml:space="preserve">transformations in the </w:t>
      </w:r>
      <w:r w:rsidRPr="00861259">
        <w:rPr>
          <w:rFonts w:cs="Times New Roman"/>
          <w:b/>
          <w:sz w:val="24"/>
          <w:szCs w:val="24"/>
        </w:rPr>
        <w:t>commemorative cityscape</w:t>
      </w:r>
    </w:p>
    <w:p w14:paraId="7FCA9590" w14:textId="77777777" w:rsidR="00861259" w:rsidRPr="00861259" w:rsidRDefault="00861259" w:rsidP="00861259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spellStart"/>
      <w:r w:rsidRPr="00861259">
        <w:rPr>
          <w:rFonts w:asciiTheme="minorHAnsi" w:hAnsiTheme="minorHAnsi" w:cs="Times New Roman"/>
          <w:sz w:val="20"/>
          <w:szCs w:val="20"/>
        </w:rPr>
        <w:t>Małgorzata</w:t>
      </w:r>
      <w:proofErr w:type="spellEnd"/>
      <w:r w:rsidRPr="00861259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861259">
        <w:rPr>
          <w:rFonts w:asciiTheme="minorHAnsi" w:hAnsiTheme="minorHAnsi" w:cs="Times New Roman"/>
          <w:sz w:val="20"/>
          <w:szCs w:val="20"/>
        </w:rPr>
        <w:t>Fabiszak</w:t>
      </w:r>
      <w:proofErr w:type="spellEnd"/>
      <w:r w:rsidRPr="00861259">
        <w:rPr>
          <w:rFonts w:asciiTheme="minorHAnsi" w:hAnsiTheme="minorHAnsi" w:cs="Times New Roman"/>
          <w:sz w:val="20"/>
          <w:szCs w:val="20"/>
        </w:rPr>
        <w:t xml:space="preserve">, Faculty of English, Adam Mickiewicz University in </w:t>
      </w:r>
      <w:proofErr w:type="spellStart"/>
      <w:r w:rsidRPr="00861259">
        <w:rPr>
          <w:rFonts w:asciiTheme="minorHAnsi" w:hAnsiTheme="minorHAnsi" w:cs="Times New Roman"/>
          <w:sz w:val="20"/>
          <w:szCs w:val="20"/>
        </w:rPr>
        <w:t>Poznań</w:t>
      </w:r>
      <w:proofErr w:type="spellEnd"/>
    </w:p>
    <w:p w14:paraId="19D8AD20" w14:textId="77777777" w:rsidR="00861259" w:rsidRPr="00861259" w:rsidRDefault="00861259" w:rsidP="00861259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861259">
        <w:rPr>
          <w:rFonts w:asciiTheme="minorHAnsi" w:hAnsiTheme="minorHAnsi" w:cs="Times New Roman"/>
          <w:sz w:val="20"/>
          <w:szCs w:val="20"/>
          <w:lang w:val="de-DE"/>
        </w:rPr>
        <w:t xml:space="preserve">Isabelle </w:t>
      </w:r>
      <w:proofErr w:type="spellStart"/>
      <w:r w:rsidRPr="00861259">
        <w:rPr>
          <w:rFonts w:asciiTheme="minorHAnsi" w:hAnsiTheme="minorHAnsi" w:cs="Times New Roman"/>
          <w:sz w:val="20"/>
          <w:szCs w:val="20"/>
          <w:lang w:val="de-DE"/>
        </w:rPr>
        <w:t>Buchstaller</w:t>
      </w:r>
      <w:proofErr w:type="spellEnd"/>
      <w:r w:rsidRPr="00861259">
        <w:rPr>
          <w:rFonts w:asciiTheme="minorHAnsi" w:hAnsiTheme="minorHAnsi" w:cs="Times New Roman"/>
          <w:sz w:val="20"/>
          <w:szCs w:val="20"/>
          <w:lang w:val="de-DE"/>
        </w:rPr>
        <w:t xml:space="preserve">, University </w:t>
      </w:r>
      <w:proofErr w:type="spellStart"/>
      <w:r w:rsidRPr="00861259">
        <w:rPr>
          <w:rFonts w:asciiTheme="minorHAnsi" w:hAnsiTheme="minorHAnsi" w:cs="Times New Roman"/>
          <w:sz w:val="20"/>
          <w:szCs w:val="20"/>
          <w:lang w:val="de-DE"/>
        </w:rPr>
        <w:t>of</w:t>
      </w:r>
      <w:proofErr w:type="spellEnd"/>
      <w:r w:rsidRPr="00861259">
        <w:rPr>
          <w:rFonts w:asciiTheme="minorHAnsi" w:hAnsiTheme="minorHAnsi" w:cs="Times New Roman"/>
          <w:sz w:val="20"/>
          <w:szCs w:val="20"/>
          <w:lang w:val="de-DE"/>
        </w:rPr>
        <w:t xml:space="preserve"> Duisburg-Essen</w:t>
      </w:r>
    </w:p>
    <w:p w14:paraId="28766930" w14:textId="77777777" w:rsidR="00861259" w:rsidRPr="00861259" w:rsidRDefault="00861259" w:rsidP="00861259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861259">
        <w:rPr>
          <w:rFonts w:asciiTheme="minorHAnsi" w:hAnsiTheme="minorHAnsi" w:cs="Times New Roman"/>
          <w:sz w:val="20"/>
          <w:szCs w:val="20"/>
        </w:rPr>
        <w:t xml:space="preserve">Anna </w:t>
      </w:r>
      <w:proofErr w:type="spellStart"/>
      <w:r w:rsidRPr="00861259">
        <w:rPr>
          <w:rFonts w:asciiTheme="minorHAnsi" w:hAnsiTheme="minorHAnsi" w:cs="Times New Roman"/>
          <w:sz w:val="20"/>
          <w:szCs w:val="20"/>
        </w:rPr>
        <w:t>Weronika</w:t>
      </w:r>
      <w:proofErr w:type="spellEnd"/>
      <w:r w:rsidRPr="00861259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861259">
        <w:rPr>
          <w:rFonts w:asciiTheme="minorHAnsi" w:hAnsiTheme="minorHAnsi" w:cs="Times New Roman"/>
          <w:sz w:val="20"/>
          <w:szCs w:val="20"/>
        </w:rPr>
        <w:t>Brzezińska</w:t>
      </w:r>
      <w:proofErr w:type="spellEnd"/>
      <w:r w:rsidRPr="00861259">
        <w:rPr>
          <w:rFonts w:asciiTheme="minorHAnsi" w:hAnsiTheme="minorHAnsi" w:cs="Times New Roman"/>
          <w:sz w:val="20"/>
          <w:szCs w:val="20"/>
        </w:rPr>
        <w:t>, Institute of Ethnology and Cultural Anthropology</w:t>
      </w:r>
    </w:p>
    <w:p w14:paraId="61AE11A1" w14:textId="77777777" w:rsidR="00861259" w:rsidRDefault="00861259" w:rsidP="00861259">
      <w:pPr>
        <w:pStyle w:val="Default"/>
        <w:jc w:val="both"/>
        <w:rPr>
          <w:rFonts w:asciiTheme="minorHAnsi" w:hAnsiTheme="minorHAnsi" w:cs="Times New Roman"/>
        </w:rPr>
      </w:pPr>
      <w:r w:rsidRPr="00861259">
        <w:rPr>
          <w:rFonts w:asciiTheme="minorHAnsi" w:hAnsiTheme="minorHAnsi" w:cs="Times New Roman"/>
          <w:sz w:val="20"/>
          <w:szCs w:val="20"/>
        </w:rPr>
        <w:t xml:space="preserve">Seraphim </w:t>
      </w:r>
      <w:proofErr w:type="spellStart"/>
      <w:r w:rsidRPr="00861259">
        <w:rPr>
          <w:rFonts w:asciiTheme="minorHAnsi" w:hAnsiTheme="minorHAnsi" w:cs="Times New Roman"/>
          <w:sz w:val="20"/>
          <w:szCs w:val="20"/>
        </w:rPr>
        <w:t>Alvanides</w:t>
      </w:r>
      <w:proofErr w:type="spellEnd"/>
      <w:r w:rsidRPr="00861259">
        <w:rPr>
          <w:rFonts w:asciiTheme="minorHAnsi" w:hAnsiTheme="minorHAnsi" w:cs="Times New Roman"/>
          <w:sz w:val="20"/>
          <w:szCs w:val="20"/>
        </w:rPr>
        <w:t>, Northumbria University</w:t>
      </w:r>
    </w:p>
    <w:p w14:paraId="6DE73A5B" w14:textId="77777777" w:rsidR="00861259" w:rsidRPr="00861259" w:rsidRDefault="00861259" w:rsidP="00861259">
      <w:pPr>
        <w:pStyle w:val="Default"/>
        <w:jc w:val="both"/>
        <w:rPr>
          <w:rFonts w:asciiTheme="minorHAnsi" w:hAnsiTheme="minorHAnsi" w:cs="Times New Roman"/>
        </w:rPr>
      </w:pPr>
    </w:p>
    <w:p w14:paraId="5AB6B256" w14:textId="3DDCFC22" w:rsidR="0039227B" w:rsidRPr="0039227B" w:rsidRDefault="00AD1223" w:rsidP="00861259">
      <w:pPr>
        <w:pStyle w:val="Default"/>
        <w:jc w:val="both"/>
        <w:rPr>
          <w:rFonts w:asciiTheme="minorHAnsi" w:eastAsia="Arial" w:hAnsiTheme="minorHAnsi" w:cs="Times New Roman"/>
        </w:rPr>
      </w:pPr>
      <w:r w:rsidRPr="0039227B">
        <w:rPr>
          <w:rFonts w:asciiTheme="minorHAnsi" w:hAnsiTheme="minorHAnsi" w:cs="Times New Roman"/>
        </w:rPr>
        <w:t xml:space="preserve">This paper is a part of a project </w:t>
      </w:r>
      <w:r w:rsidR="000B0562" w:rsidRPr="0039227B">
        <w:rPr>
          <w:rFonts w:asciiTheme="minorHAnsi" w:hAnsiTheme="minorHAnsi" w:cs="Times New Roman"/>
        </w:rPr>
        <w:t>“</w:t>
      </w:r>
      <w:r w:rsidR="000B0562" w:rsidRPr="0039227B">
        <w:rPr>
          <w:rFonts w:asciiTheme="minorHAnsi" w:hAnsiTheme="minorHAnsi" w:cs="Times New Roman"/>
          <w:b/>
        </w:rPr>
        <w:t>Memory and ideology in the linguistic landscape: Commemorative (re)naming in East Germany and Poland 1916-2016”</w:t>
      </w:r>
      <w:r w:rsidR="0039227B" w:rsidRPr="0039227B">
        <w:rPr>
          <w:rFonts w:asciiTheme="minorHAnsi" w:hAnsiTheme="minorHAnsi" w:cs="Times New Roman"/>
          <w:b/>
        </w:rPr>
        <w:t xml:space="preserve">. </w:t>
      </w:r>
      <w:r w:rsidR="0039227B" w:rsidRPr="0039227B">
        <w:rPr>
          <w:rFonts w:asciiTheme="minorHAnsi" w:hAnsiTheme="minorHAnsi" w:cs="Times New Roman"/>
          <w:color w:val="auto"/>
        </w:rPr>
        <w:t xml:space="preserve">By integrating insights from linguistic landscape research and collective memory studies we propose the concept of the </w:t>
      </w:r>
      <w:r w:rsidR="0039227B" w:rsidRPr="00717344">
        <w:rPr>
          <w:rFonts w:asciiTheme="minorHAnsi" w:hAnsiTheme="minorHAnsi" w:cs="Times New Roman"/>
          <w:b/>
          <w:bCs/>
          <w:iCs/>
          <w:color w:val="auto"/>
        </w:rPr>
        <w:t>commemorative cityscape,</w:t>
      </w:r>
      <w:r w:rsidR="0039227B" w:rsidRPr="0039227B">
        <w:rPr>
          <w:rFonts w:asciiTheme="minorHAnsi" w:hAnsiTheme="minorHAnsi" w:cs="Times New Roman"/>
          <w:b/>
          <w:bCs/>
          <w:i/>
          <w:iCs/>
          <w:color w:val="auto"/>
        </w:rPr>
        <w:t xml:space="preserve"> </w:t>
      </w:r>
      <w:r w:rsidR="0039227B" w:rsidRPr="0039227B">
        <w:rPr>
          <w:rFonts w:asciiTheme="minorHAnsi" w:hAnsiTheme="minorHAnsi" w:cs="Times New Roman"/>
          <w:color w:val="auto"/>
        </w:rPr>
        <w:t xml:space="preserve">understood as a constantly negotiated and renegotiated spatial expression of the collective memory </w:t>
      </w:r>
      <w:r w:rsidR="0039227B">
        <w:rPr>
          <w:rFonts w:asciiTheme="minorHAnsi" w:hAnsiTheme="minorHAnsi" w:cs="Times New Roman"/>
          <w:color w:val="auto"/>
        </w:rPr>
        <w:t xml:space="preserve">and identity </w:t>
      </w:r>
      <w:r w:rsidR="0039227B" w:rsidRPr="0039227B">
        <w:rPr>
          <w:rFonts w:asciiTheme="minorHAnsi" w:hAnsiTheme="minorHAnsi" w:cs="Times New Roman"/>
          <w:color w:val="auto"/>
        </w:rPr>
        <w:t>of the city inhabitants that is influenced by the socio-political and ideological factors at the national level.</w:t>
      </w:r>
      <w:r w:rsidR="0039227B">
        <w:rPr>
          <w:rFonts w:asciiTheme="minorHAnsi" w:hAnsiTheme="minorHAnsi" w:cs="Times New Roman"/>
          <w:color w:val="auto"/>
        </w:rPr>
        <w:t xml:space="preserve"> Commemorative renaming can </w:t>
      </w:r>
      <w:r w:rsidR="007841E6">
        <w:rPr>
          <w:rFonts w:asciiTheme="minorHAnsi" w:hAnsiTheme="minorHAnsi" w:cs="Times New Roman"/>
          <w:color w:val="auto"/>
        </w:rPr>
        <w:t xml:space="preserve">thus </w:t>
      </w:r>
      <w:r w:rsidR="0039227B">
        <w:rPr>
          <w:rFonts w:asciiTheme="minorHAnsi" w:hAnsiTheme="minorHAnsi" w:cs="Times New Roman"/>
          <w:color w:val="auto"/>
        </w:rPr>
        <w:t>be treated as a “battle for representation” (</w:t>
      </w:r>
      <w:proofErr w:type="spellStart"/>
      <w:r w:rsidR="0039227B" w:rsidRPr="0039227B">
        <w:rPr>
          <w:rFonts w:asciiTheme="minorHAnsi" w:eastAsia="Arial" w:hAnsiTheme="minorHAnsi" w:cs="Times New Roman"/>
        </w:rPr>
        <w:t>Trumper</w:t>
      </w:r>
      <w:proofErr w:type="spellEnd"/>
      <w:r w:rsidR="0039227B" w:rsidRPr="0039227B">
        <w:rPr>
          <w:rFonts w:asciiTheme="minorHAnsi" w:eastAsia="Arial" w:hAnsiTheme="minorHAnsi" w:cs="Times New Roman"/>
        </w:rPr>
        <w:t>-Hecht 2009:238</w:t>
      </w:r>
      <w:r w:rsidR="0039227B">
        <w:rPr>
          <w:rFonts w:asciiTheme="minorHAnsi" w:eastAsia="Arial" w:hAnsiTheme="minorHAnsi" w:cs="Times New Roman"/>
        </w:rPr>
        <w:t xml:space="preserve">), </w:t>
      </w:r>
      <w:r w:rsidR="0039227B" w:rsidRPr="0039227B">
        <w:rPr>
          <w:rFonts w:asciiTheme="minorHAnsi" w:eastAsia="Arial" w:hAnsiTheme="minorHAnsi" w:cs="Times New Roman"/>
          <w:shd w:val="clear" w:color="auto" w:fill="FFFFFF"/>
        </w:rPr>
        <w:t xml:space="preserve">a </w:t>
      </w:r>
      <w:r w:rsidR="0065697D">
        <w:rPr>
          <w:rFonts w:asciiTheme="minorHAnsi" w:eastAsia="Arial" w:hAnsiTheme="minorHAnsi" w:cs="Times New Roman"/>
          <w:shd w:val="clear" w:color="auto" w:fill="FFFFFF"/>
        </w:rPr>
        <w:t>“barometer”</w:t>
      </w:r>
      <w:r w:rsidR="0039227B" w:rsidRPr="0039227B">
        <w:rPr>
          <w:rFonts w:asciiTheme="minorHAnsi" w:hAnsiTheme="minorHAnsi" w:cs="Times New Roman"/>
        </w:rPr>
        <w:t xml:space="preserve"> </w:t>
      </w:r>
      <w:r w:rsidR="0039227B" w:rsidRPr="0039227B">
        <w:rPr>
          <w:rFonts w:asciiTheme="minorHAnsi" w:eastAsia="Arial" w:hAnsiTheme="minorHAnsi" w:cs="Times New Roman"/>
          <w:shd w:val="clear" w:color="auto" w:fill="FFFFFF"/>
        </w:rPr>
        <w:t>of political changes and a ‘tool’ for creating social identity (</w:t>
      </w:r>
      <w:proofErr w:type="spellStart"/>
      <w:r w:rsidR="0039227B" w:rsidRPr="0039227B">
        <w:rPr>
          <w:rFonts w:asciiTheme="minorHAnsi" w:eastAsia="Arial" w:hAnsiTheme="minorHAnsi" w:cs="Times New Roman"/>
          <w:shd w:val="clear" w:color="auto" w:fill="FFFFFF"/>
        </w:rPr>
        <w:t>Kaltenberg-Kwiatkowska</w:t>
      </w:r>
      <w:proofErr w:type="spellEnd"/>
      <w:r w:rsidR="0039227B" w:rsidRPr="0039227B">
        <w:rPr>
          <w:rFonts w:asciiTheme="minorHAnsi" w:eastAsia="Arial" w:hAnsiTheme="minorHAnsi" w:cs="Times New Roman"/>
          <w:shd w:val="clear" w:color="auto" w:fill="FFFFFF"/>
        </w:rPr>
        <w:t xml:space="preserve"> 2011:165</w:t>
      </w:r>
      <w:r w:rsidR="0039227B">
        <w:rPr>
          <w:rFonts w:asciiTheme="minorHAnsi" w:eastAsia="Arial" w:hAnsiTheme="minorHAnsi" w:cs="Times New Roman"/>
          <w:shd w:val="clear" w:color="auto" w:fill="FFFFFF"/>
        </w:rPr>
        <w:t xml:space="preserve">; </w:t>
      </w:r>
      <w:proofErr w:type="spellStart"/>
      <w:r w:rsidR="0039227B">
        <w:rPr>
          <w:rFonts w:asciiTheme="minorHAnsi" w:hAnsiTheme="minorHAnsi" w:cs="Times New Roman"/>
        </w:rPr>
        <w:t>Moszberger</w:t>
      </w:r>
      <w:proofErr w:type="spellEnd"/>
      <w:r w:rsidR="0039227B">
        <w:rPr>
          <w:rFonts w:asciiTheme="minorHAnsi" w:hAnsiTheme="minorHAnsi" w:cs="Times New Roman"/>
        </w:rPr>
        <w:t xml:space="preserve">, Rieger, </w:t>
      </w:r>
      <w:proofErr w:type="spellStart"/>
      <w:r w:rsidR="0039227B">
        <w:rPr>
          <w:rFonts w:asciiTheme="minorHAnsi" w:hAnsiTheme="minorHAnsi" w:cs="Times New Roman"/>
        </w:rPr>
        <w:t>Daul</w:t>
      </w:r>
      <w:proofErr w:type="spellEnd"/>
      <w:r w:rsidR="0039227B">
        <w:rPr>
          <w:rFonts w:asciiTheme="minorHAnsi" w:hAnsiTheme="minorHAnsi" w:cs="Times New Roman"/>
        </w:rPr>
        <w:t xml:space="preserve"> </w:t>
      </w:r>
      <w:r w:rsidR="0039227B" w:rsidRPr="0039227B">
        <w:rPr>
          <w:rFonts w:asciiTheme="minorHAnsi" w:hAnsiTheme="minorHAnsi" w:cs="Times New Roman"/>
        </w:rPr>
        <w:t>2002:</w:t>
      </w:r>
      <w:r w:rsidR="0039227B">
        <w:rPr>
          <w:rFonts w:asciiTheme="minorHAnsi" w:hAnsiTheme="minorHAnsi" w:cs="Times New Roman"/>
        </w:rPr>
        <w:t>5</w:t>
      </w:r>
      <w:r w:rsidR="00BF28CA">
        <w:rPr>
          <w:rFonts w:asciiTheme="minorHAnsi" w:hAnsiTheme="minorHAnsi" w:cs="Times New Roman"/>
        </w:rPr>
        <w:t xml:space="preserve">; </w:t>
      </w:r>
      <w:proofErr w:type="spellStart"/>
      <w:r w:rsidR="00BF28CA">
        <w:rPr>
          <w:rFonts w:asciiTheme="minorHAnsi" w:hAnsiTheme="minorHAnsi" w:cs="Times New Roman"/>
        </w:rPr>
        <w:t>Azaryahu</w:t>
      </w:r>
      <w:proofErr w:type="spellEnd"/>
      <w:r w:rsidR="00BF28CA">
        <w:rPr>
          <w:rFonts w:asciiTheme="minorHAnsi" w:hAnsiTheme="minorHAnsi" w:cs="Times New Roman"/>
        </w:rPr>
        <w:t xml:space="preserve"> 1986, 1996, 1997, 2011a,b</w:t>
      </w:r>
      <w:r w:rsidR="0039227B" w:rsidRPr="0039227B">
        <w:rPr>
          <w:rFonts w:asciiTheme="minorHAnsi" w:eastAsia="Arial" w:hAnsiTheme="minorHAnsi" w:cs="Times New Roman"/>
          <w:shd w:val="clear" w:color="auto" w:fill="FFFFFF"/>
        </w:rPr>
        <w:t>)</w:t>
      </w:r>
      <w:r w:rsidR="007841E6">
        <w:rPr>
          <w:rFonts w:asciiTheme="minorHAnsi" w:eastAsia="Arial" w:hAnsiTheme="minorHAnsi" w:cs="Times New Roman"/>
          <w:shd w:val="clear" w:color="auto" w:fill="FFFFFF"/>
        </w:rPr>
        <w:t>. In our talk,</w:t>
      </w:r>
      <w:r w:rsidR="0065697D">
        <w:rPr>
          <w:rFonts w:asciiTheme="minorHAnsi" w:eastAsia="Arial" w:hAnsiTheme="minorHAnsi" w:cs="Times New Roman"/>
          <w:shd w:val="clear" w:color="auto" w:fill="FFFFFF"/>
        </w:rPr>
        <w:t xml:space="preserve"> we</w:t>
      </w:r>
      <w:r w:rsidR="007841E6">
        <w:rPr>
          <w:rFonts w:asciiTheme="minorHAnsi" w:eastAsia="Arial" w:hAnsiTheme="minorHAnsi" w:cs="Times New Roman"/>
          <w:shd w:val="clear" w:color="auto" w:fill="FFFFFF"/>
        </w:rPr>
        <w:t xml:space="preserve"> focus on the </w:t>
      </w:r>
      <w:proofErr w:type="spellStart"/>
      <w:r w:rsidR="007841E6">
        <w:rPr>
          <w:rFonts w:asciiTheme="minorHAnsi" w:eastAsia="Arial" w:hAnsiTheme="minorHAnsi" w:cs="Times New Roman"/>
          <w:shd w:val="clear" w:color="auto" w:fill="FFFFFF"/>
        </w:rPr>
        <w:t>instrumentalisation</w:t>
      </w:r>
      <w:proofErr w:type="spellEnd"/>
      <w:r w:rsidR="007841E6">
        <w:rPr>
          <w:rFonts w:asciiTheme="minorHAnsi" w:eastAsia="Arial" w:hAnsiTheme="minorHAnsi" w:cs="Times New Roman"/>
          <w:shd w:val="clear" w:color="auto" w:fill="FFFFFF"/>
        </w:rPr>
        <w:t xml:space="preserve"> of the commemorative cityscape as </w:t>
      </w:r>
      <w:r w:rsidR="0039227B" w:rsidRPr="0039227B">
        <w:rPr>
          <w:rFonts w:asciiTheme="minorHAnsi" w:eastAsia="Times New Roman" w:hAnsiTheme="minorHAnsi" w:cs="Times New Roman"/>
        </w:rPr>
        <w:t xml:space="preserve">an exercise in active forgetting (A. </w:t>
      </w:r>
      <w:proofErr w:type="spellStart"/>
      <w:r w:rsidR="0039227B" w:rsidRPr="0039227B">
        <w:rPr>
          <w:rFonts w:asciiTheme="minorHAnsi" w:eastAsia="Times New Roman" w:hAnsiTheme="minorHAnsi" w:cs="Times New Roman"/>
        </w:rPr>
        <w:t>Assman</w:t>
      </w:r>
      <w:proofErr w:type="spellEnd"/>
      <w:r w:rsidR="0039227B" w:rsidRPr="0039227B">
        <w:rPr>
          <w:rFonts w:asciiTheme="minorHAnsi" w:eastAsia="Times New Roman" w:hAnsiTheme="minorHAnsi" w:cs="Times New Roman"/>
        </w:rPr>
        <w:t xml:space="preserve"> 2010) or repre</w:t>
      </w:r>
      <w:r w:rsidR="00717344">
        <w:rPr>
          <w:rFonts w:asciiTheme="minorHAnsi" w:eastAsia="Times New Roman" w:hAnsiTheme="minorHAnsi" w:cs="Times New Roman"/>
        </w:rPr>
        <w:t>ssive erasure (</w:t>
      </w:r>
      <w:proofErr w:type="spellStart"/>
      <w:r w:rsidR="00717344">
        <w:rPr>
          <w:rFonts w:asciiTheme="minorHAnsi" w:eastAsia="Times New Roman" w:hAnsiTheme="minorHAnsi" w:cs="Times New Roman"/>
        </w:rPr>
        <w:t>Connerton</w:t>
      </w:r>
      <w:proofErr w:type="spellEnd"/>
      <w:r w:rsidR="00717344">
        <w:rPr>
          <w:rFonts w:asciiTheme="minorHAnsi" w:eastAsia="Times New Roman" w:hAnsiTheme="minorHAnsi" w:cs="Times New Roman"/>
        </w:rPr>
        <w:t xml:space="preserve"> 2008).</w:t>
      </w:r>
    </w:p>
    <w:p w14:paraId="325E33BF" w14:textId="15DCFB80" w:rsidR="007841E6" w:rsidRPr="0065697D" w:rsidRDefault="007841E6" w:rsidP="00861259">
      <w:pPr>
        <w:shd w:val="clear" w:color="auto" w:fill="FFFFFF"/>
        <w:spacing w:after="0" w:line="280" w:lineRule="exact"/>
        <w:ind w:firstLine="720"/>
        <w:jc w:val="both"/>
        <w:rPr>
          <w:rFonts w:eastAsia="Arial" w:cs="Arial"/>
          <w:bCs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Our project </w:t>
      </w:r>
      <w:r w:rsidR="00AD1223" w:rsidRPr="00BF28CA">
        <w:rPr>
          <w:rFonts w:cs="Times New Roman"/>
          <w:sz w:val="24"/>
          <w:szCs w:val="24"/>
        </w:rPr>
        <w:t>take</w:t>
      </w:r>
      <w:r>
        <w:rPr>
          <w:rFonts w:cs="Times New Roman"/>
          <w:sz w:val="24"/>
          <w:szCs w:val="24"/>
        </w:rPr>
        <w:t>s</w:t>
      </w:r>
      <w:r w:rsidR="00AD1223" w:rsidRPr="00BF28CA">
        <w:rPr>
          <w:rFonts w:cs="Times New Roman"/>
          <w:sz w:val="24"/>
          <w:szCs w:val="24"/>
        </w:rPr>
        <w:t xml:space="preserve"> a perspective of historical socio-linguistics </w:t>
      </w:r>
      <w:r>
        <w:rPr>
          <w:rFonts w:cs="Times New Roman"/>
          <w:sz w:val="24"/>
          <w:szCs w:val="24"/>
        </w:rPr>
        <w:t>by</w:t>
      </w:r>
      <w:r w:rsidRPr="00BF28CA">
        <w:rPr>
          <w:rFonts w:cs="Times New Roman"/>
          <w:sz w:val="24"/>
          <w:szCs w:val="24"/>
        </w:rPr>
        <w:t xml:space="preserve"> </w:t>
      </w:r>
      <w:r w:rsidR="00AD1223" w:rsidRPr="00BF28CA">
        <w:rPr>
          <w:rFonts w:cs="Times New Roman"/>
          <w:sz w:val="24"/>
          <w:szCs w:val="24"/>
        </w:rPr>
        <w:t>focus</w:t>
      </w:r>
      <w:r>
        <w:rPr>
          <w:rFonts w:cs="Times New Roman"/>
          <w:sz w:val="24"/>
          <w:szCs w:val="24"/>
        </w:rPr>
        <w:t>ing</w:t>
      </w:r>
      <w:r w:rsidR="00AD1223" w:rsidRPr="00BF28CA">
        <w:rPr>
          <w:rFonts w:cs="Times New Roman"/>
          <w:sz w:val="24"/>
          <w:szCs w:val="24"/>
        </w:rPr>
        <w:t xml:space="preserve"> on the </w:t>
      </w:r>
      <w:r w:rsidR="00717344" w:rsidRPr="00BF28CA">
        <w:rPr>
          <w:rFonts w:cs="Times New Roman"/>
          <w:sz w:val="24"/>
          <w:szCs w:val="24"/>
        </w:rPr>
        <w:t xml:space="preserve">public </w:t>
      </w:r>
      <w:r w:rsidR="00AD1223" w:rsidRPr="00BF28CA">
        <w:rPr>
          <w:rFonts w:cs="Times New Roman"/>
          <w:sz w:val="24"/>
          <w:szCs w:val="24"/>
        </w:rPr>
        <w:t xml:space="preserve">perception of the changes in street names </w:t>
      </w:r>
      <w:r w:rsidR="00E34C25">
        <w:rPr>
          <w:rFonts w:cs="Times New Roman"/>
          <w:sz w:val="24"/>
          <w:szCs w:val="24"/>
        </w:rPr>
        <w:t>in three Polish and three German cities (</w:t>
      </w:r>
      <w:proofErr w:type="spellStart"/>
      <w:r w:rsidR="00E34C25">
        <w:rPr>
          <w:rFonts w:cs="Times New Roman"/>
          <w:sz w:val="24"/>
          <w:szCs w:val="24"/>
        </w:rPr>
        <w:t>Poznań</w:t>
      </w:r>
      <w:proofErr w:type="spellEnd"/>
      <w:r w:rsidR="00E34C25">
        <w:rPr>
          <w:rFonts w:cs="Times New Roman"/>
          <w:sz w:val="24"/>
          <w:szCs w:val="24"/>
        </w:rPr>
        <w:t xml:space="preserve">, </w:t>
      </w:r>
      <w:proofErr w:type="spellStart"/>
      <w:r w:rsidR="00E34C25">
        <w:rPr>
          <w:rFonts w:cs="Times New Roman"/>
          <w:sz w:val="24"/>
          <w:szCs w:val="24"/>
        </w:rPr>
        <w:t>Zbąszyń</w:t>
      </w:r>
      <w:proofErr w:type="spellEnd"/>
      <w:r w:rsidR="00E34C25">
        <w:rPr>
          <w:rFonts w:cs="Times New Roman"/>
          <w:sz w:val="24"/>
          <w:szCs w:val="24"/>
        </w:rPr>
        <w:t>, Leipzig, Annabel-</w:t>
      </w:r>
      <w:proofErr w:type="spellStart"/>
      <w:r w:rsidR="00E34C25">
        <w:rPr>
          <w:rFonts w:cs="Times New Roman"/>
          <w:sz w:val="24"/>
          <w:szCs w:val="24"/>
        </w:rPr>
        <w:t>Bucholtz</w:t>
      </w:r>
      <w:proofErr w:type="spellEnd"/>
      <w:r w:rsidR="00E34C25">
        <w:rPr>
          <w:rFonts w:cs="Times New Roman"/>
          <w:sz w:val="24"/>
          <w:szCs w:val="24"/>
        </w:rPr>
        <w:t xml:space="preserve">, </w:t>
      </w:r>
      <w:proofErr w:type="spellStart"/>
      <w:r w:rsidR="00E34C25">
        <w:rPr>
          <w:rFonts w:cs="Times New Roman"/>
          <w:sz w:val="24"/>
          <w:szCs w:val="24"/>
        </w:rPr>
        <w:t>Frakfurt</w:t>
      </w:r>
      <w:proofErr w:type="spellEnd"/>
      <w:r w:rsidR="00E34C25">
        <w:rPr>
          <w:rFonts w:cs="Times New Roman"/>
          <w:sz w:val="24"/>
          <w:szCs w:val="24"/>
        </w:rPr>
        <w:t>(Oder)/</w:t>
      </w:r>
      <w:proofErr w:type="spellStart"/>
      <w:r w:rsidR="00E34C25">
        <w:rPr>
          <w:rFonts w:cs="Times New Roman"/>
          <w:sz w:val="24"/>
          <w:szCs w:val="24"/>
        </w:rPr>
        <w:t>Słubice</w:t>
      </w:r>
      <w:proofErr w:type="spellEnd"/>
      <w:r w:rsidR="00E34C25">
        <w:rPr>
          <w:rFonts w:cs="Times New Roman"/>
          <w:sz w:val="24"/>
          <w:szCs w:val="24"/>
        </w:rPr>
        <w:t xml:space="preserve">) </w:t>
      </w:r>
      <w:r w:rsidR="00717344" w:rsidRPr="00BF28CA">
        <w:rPr>
          <w:rFonts w:cs="Times New Roman"/>
          <w:sz w:val="24"/>
          <w:szCs w:val="24"/>
        </w:rPr>
        <w:t>as represe</w:t>
      </w:r>
      <w:r w:rsidR="0065697D">
        <w:rPr>
          <w:rFonts w:cs="Times New Roman"/>
          <w:sz w:val="24"/>
          <w:szCs w:val="24"/>
        </w:rPr>
        <w:t>nted in the regional newspapers</w:t>
      </w:r>
      <w:r w:rsidR="00717344" w:rsidRPr="00BF28CA">
        <w:rPr>
          <w:rFonts w:cs="Times New Roman"/>
          <w:sz w:val="24"/>
          <w:szCs w:val="24"/>
          <w:lang w:eastAsia="de-DE"/>
        </w:rPr>
        <w:t xml:space="preserve"> and the </w:t>
      </w:r>
      <w:r>
        <w:rPr>
          <w:rFonts w:cs="Times New Roman"/>
          <w:sz w:val="24"/>
          <w:szCs w:val="24"/>
          <w:lang w:eastAsia="de-DE"/>
        </w:rPr>
        <w:t xml:space="preserve">associated </w:t>
      </w:r>
      <w:r w:rsidR="00717344" w:rsidRPr="00BF28CA">
        <w:rPr>
          <w:rFonts w:cs="Times New Roman"/>
          <w:sz w:val="24"/>
          <w:szCs w:val="24"/>
          <w:lang w:eastAsia="de-DE"/>
        </w:rPr>
        <w:t xml:space="preserve">internet information sites. </w:t>
      </w:r>
      <w:r w:rsidR="00BF28CA" w:rsidRPr="00BF28CA">
        <w:rPr>
          <w:rFonts w:eastAsia="Times New Roman" w:cs="Arial"/>
          <w:sz w:val="24"/>
          <w:szCs w:val="24"/>
        </w:rPr>
        <w:t>The pivotal years of 1919, 1939, 1945 and 1989 mark historical turning points for street renaming in Polish cities. Within the last 70 years, a more detailed division is possible: 1948-1949 (Stalinist era), 1956 (Khrushchev’s Thaw), and then 2007 and 2015 when Law and Justice governments came to power and promoted their own historical policy</w:t>
      </w:r>
      <w:r w:rsidR="00BF28CA" w:rsidRPr="0065697D">
        <w:rPr>
          <w:rFonts w:eastAsia="Times New Roman" w:cs="Arial"/>
          <w:sz w:val="24"/>
          <w:szCs w:val="24"/>
        </w:rPr>
        <w:t>.</w:t>
      </w:r>
      <w:r w:rsidR="00BF28CA" w:rsidRPr="0065697D">
        <w:rPr>
          <w:rFonts w:eastAsia="Arial" w:cs="Arial"/>
          <w:sz w:val="24"/>
          <w:szCs w:val="24"/>
        </w:rPr>
        <w:t xml:space="preserve"> For Germany, the crucial threshold years are</w:t>
      </w:r>
      <w:r w:rsidRPr="0065697D">
        <w:rPr>
          <w:rFonts w:eastAsia="Arial" w:cs="Arial"/>
          <w:sz w:val="24"/>
          <w:szCs w:val="24"/>
        </w:rPr>
        <w:t xml:space="preserve"> </w:t>
      </w:r>
      <w:r w:rsidR="00E34C25" w:rsidRPr="0065697D">
        <w:rPr>
          <w:rFonts w:eastAsia="Arial" w:cs="Arial"/>
          <w:sz w:val="24"/>
          <w:szCs w:val="24"/>
        </w:rPr>
        <w:t>1933, 1947, 198</w:t>
      </w:r>
      <w:r w:rsidRPr="0065697D">
        <w:rPr>
          <w:rFonts w:eastAsia="Arial" w:cs="Arial"/>
          <w:sz w:val="24"/>
          <w:szCs w:val="24"/>
        </w:rPr>
        <w:t>9 and street renaming – as well as discussions about commemorative semiotic practices continue to take place.</w:t>
      </w:r>
      <w:r w:rsidRPr="0065697D">
        <w:rPr>
          <w:rFonts w:cs="Times New Roman"/>
          <w:sz w:val="24"/>
          <w:szCs w:val="24"/>
          <w:lang w:eastAsia="de-DE"/>
        </w:rPr>
        <w:t xml:space="preserve"> </w:t>
      </w:r>
    </w:p>
    <w:p w14:paraId="62F3E600" w14:textId="53B065A6" w:rsidR="00717344" w:rsidRDefault="00717344" w:rsidP="0065697D">
      <w:pPr>
        <w:shd w:val="clear" w:color="auto" w:fill="FFFFFF"/>
        <w:spacing w:after="0" w:line="280" w:lineRule="exact"/>
        <w:ind w:firstLine="720"/>
        <w:jc w:val="both"/>
        <w:rPr>
          <w:rFonts w:cs="Times New Roman"/>
          <w:sz w:val="24"/>
          <w:szCs w:val="24"/>
          <w:lang w:eastAsia="de-DE"/>
        </w:rPr>
      </w:pPr>
      <w:r w:rsidRPr="00BF28CA">
        <w:rPr>
          <w:rFonts w:cs="Times New Roman"/>
          <w:sz w:val="24"/>
          <w:szCs w:val="24"/>
          <w:lang w:eastAsia="de-DE"/>
        </w:rPr>
        <w:t xml:space="preserve">The collected articles will be analysed within a Discourse Historical Approach (DHA, </w:t>
      </w:r>
      <w:proofErr w:type="spellStart"/>
      <w:r w:rsidRPr="00BF28CA">
        <w:rPr>
          <w:rFonts w:cs="Times New Roman"/>
          <w:sz w:val="24"/>
          <w:szCs w:val="24"/>
          <w:lang w:eastAsia="de-DE"/>
        </w:rPr>
        <w:t>Wodak</w:t>
      </w:r>
      <w:proofErr w:type="spellEnd"/>
      <w:r w:rsidRPr="00BF28CA">
        <w:rPr>
          <w:rFonts w:cs="Times New Roman"/>
          <w:sz w:val="24"/>
          <w:szCs w:val="24"/>
          <w:lang w:eastAsia="de-DE"/>
        </w:rPr>
        <w:t xml:space="preserve"> &amp;</w:t>
      </w:r>
      <w:r w:rsidRPr="0039227B">
        <w:rPr>
          <w:rFonts w:cs="Times New Roman"/>
          <w:sz w:val="24"/>
          <w:szCs w:val="24"/>
          <w:lang w:eastAsia="de-DE"/>
        </w:rPr>
        <w:t xml:space="preserve"> Meyer 2009, </w:t>
      </w:r>
      <w:proofErr w:type="spellStart"/>
      <w:r w:rsidRPr="0039227B">
        <w:rPr>
          <w:rFonts w:cs="Times New Roman"/>
          <w:sz w:val="24"/>
          <w:szCs w:val="24"/>
          <w:lang w:eastAsia="de-DE"/>
        </w:rPr>
        <w:t>Wodak</w:t>
      </w:r>
      <w:proofErr w:type="spellEnd"/>
      <w:r w:rsidRPr="0039227B">
        <w:rPr>
          <w:rFonts w:cs="Times New Roman"/>
          <w:sz w:val="24"/>
          <w:szCs w:val="24"/>
          <w:lang w:eastAsia="de-DE"/>
        </w:rPr>
        <w:t xml:space="preserve"> &amp; </w:t>
      </w:r>
      <w:proofErr w:type="spellStart"/>
      <w:r w:rsidRPr="0039227B">
        <w:rPr>
          <w:rFonts w:cs="Times New Roman"/>
          <w:sz w:val="24"/>
          <w:szCs w:val="24"/>
          <w:lang w:eastAsia="de-DE"/>
        </w:rPr>
        <w:t>Forchtner</w:t>
      </w:r>
      <w:proofErr w:type="spellEnd"/>
      <w:r w:rsidRPr="0039227B">
        <w:rPr>
          <w:rFonts w:cs="Times New Roman"/>
          <w:sz w:val="24"/>
          <w:szCs w:val="24"/>
          <w:lang w:eastAsia="de-DE"/>
        </w:rPr>
        <w:t xml:space="preserve"> 2014), which views texts as connected to discourses and interpreted within their socio-historical and current contexts. The identification of the recurrent themes in the argumentation strategies (= </w:t>
      </w:r>
      <w:proofErr w:type="spellStart"/>
      <w:r w:rsidRPr="0039227B">
        <w:rPr>
          <w:rFonts w:cs="Times New Roman"/>
          <w:sz w:val="24"/>
          <w:szCs w:val="24"/>
          <w:lang w:eastAsia="de-DE"/>
        </w:rPr>
        <w:t>topoi</w:t>
      </w:r>
      <w:proofErr w:type="spellEnd"/>
      <w:r w:rsidRPr="0039227B">
        <w:rPr>
          <w:rFonts w:cs="Times New Roman"/>
          <w:sz w:val="24"/>
          <w:szCs w:val="24"/>
          <w:lang w:eastAsia="de-DE"/>
        </w:rPr>
        <w:t>) as well as the positioning of the social agents revealed through the analysis of the strategies of nomination, predication, intensification, mitigation and framing allow</w:t>
      </w:r>
      <w:r w:rsidR="007841E6">
        <w:rPr>
          <w:rFonts w:cs="Times New Roman"/>
          <w:sz w:val="24"/>
          <w:szCs w:val="24"/>
          <w:lang w:eastAsia="de-DE"/>
        </w:rPr>
        <w:t>s</w:t>
      </w:r>
      <w:r w:rsidRPr="0039227B">
        <w:rPr>
          <w:rFonts w:cs="Times New Roman"/>
          <w:sz w:val="24"/>
          <w:szCs w:val="24"/>
          <w:lang w:eastAsia="de-DE"/>
        </w:rPr>
        <w:t xml:space="preserve"> us to reconstruct the </w:t>
      </w:r>
      <w:r>
        <w:rPr>
          <w:rFonts w:cs="Times New Roman"/>
          <w:sz w:val="24"/>
          <w:szCs w:val="24"/>
          <w:lang w:eastAsia="de-DE"/>
        </w:rPr>
        <w:t>media debates concerning the transformations of the commemorative cityscape in ideology-driven attempts at revising social identities.</w:t>
      </w:r>
    </w:p>
    <w:p w14:paraId="3FAF8AF0" w14:textId="77777777" w:rsidR="007B603E" w:rsidRDefault="007B603E" w:rsidP="00861259">
      <w:pPr>
        <w:jc w:val="both"/>
        <w:rPr>
          <w:rFonts w:cs="Times New Roman"/>
          <w:b/>
          <w:sz w:val="24"/>
          <w:szCs w:val="24"/>
        </w:rPr>
      </w:pPr>
    </w:p>
    <w:p w14:paraId="4A96E5C4" w14:textId="3D2D36D2" w:rsidR="00E34C25" w:rsidRPr="00E34C25" w:rsidRDefault="007B603E" w:rsidP="00861259">
      <w:pPr>
        <w:jc w:val="both"/>
        <w:rPr>
          <w:rFonts w:cs="Times New Roman"/>
          <w:sz w:val="24"/>
          <w:szCs w:val="24"/>
        </w:rPr>
      </w:pPr>
      <w:r w:rsidRPr="007B603E">
        <w:rPr>
          <w:rFonts w:cs="Times New Roman"/>
          <w:b/>
          <w:sz w:val="24"/>
          <w:szCs w:val="24"/>
        </w:rPr>
        <w:t>Key words</w:t>
      </w:r>
      <w:r>
        <w:rPr>
          <w:rFonts w:cs="Times New Roman"/>
          <w:sz w:val="24"/>
          <w:szCs w:val="24"/>
        </w:rPr>
        <w:t>: street renaming, media perception, collective memory, DHA, linguistic landscape</w:t>
      </w:r>
    </w:p>
    <w:p w14:paraId="19F960E7" w14:textId="77777777" w:rsidR="00717344" w:rsidRPr="00BF28CA" w:rsidRDefault="00BF28CA" w:rsidP="00861259">
      <w:pPr>
        <w:jc w:val="both"/>
        <w:rPr>
          <w:rFonts w:cs="Times New Roman"/>
          <w:b/>
          <w:sz w:val="24"/>
          <w:szCs w:val="24"/>
        </w:rPr>
      </w:pPr>
      <w:r w:rsidRPr="00BF28CA">
        <w:rPr>
          <w:rFonts w:cs="Times New Roman"/>
          <w:b/>
          <w:sz w:val="24"/>
          <w:szCs w:val="24"/>
        </w:rPr>
        <w:t xml:space="preserve">Selected </w:t>
      </w:r>
      <w:r w:rsidR="00747979" w:rsidRPr="00BF28CA">
        <w:rPr>
          <w:rFonts w:cs="Times New Roman"/>
          <w:b/>
          <w:sz w:val="24"/>
          <w:szCs w:val="24"/>
        </w:rPr>
        <w:t>References</w:t>
      </w:r>
    </w:p>
    <w:p w14:paraId="0F074973" w14:textId="77777777" w:rsidR="00BF28CA" w:rsidRPr="00BF28CA" w:rsidRDefault="00BF28CA" w:rsidP="00861259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de-DE"/>
        </w:rPr>
      </w:pPr>
      <w:proofErr w:type="spellStart"/>
      <w:r w:rsidRPr="00BF28CA">
        <w:rPr>
          <w:rFonts w:cs="Arial"/>
          <w:sz w:val="20"/>
          <w:szCs w:val="20"/>
          <w:lang w:eastAsia="de-DE"/>
        </w:rPr>
        <w:t>Assmann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, A. 2010. “Canon and Archive.” </w:t>
      </w:r>
      <w:r w:rsidRPr="0065697D">
        <w:rPr>
          <w:rFonts w:cs="Arial"/>
          <w:sz w:val="20"/>
          <w:szCs w:val="20"/>
          <w:lang w:val="de-DE" w:eastAsia="de-DE"/>
        </w:rPr>
        <w:t xml:space="preserve">In A. </w:t>
      </w:r>
      <w:proofErr w:type="spellStart"/>
      <w:r w:rsidRPr="0065697D">
        <w:rPr>
          <w:rFonts w:cs="Arial"/>
          <w:sz w:val="20"/>
          <w:szCs w:val="20"/>
          <w:lang w:val="de-DE" w:eastAsia="de-DE"/>
        </w:rPr>
        <w:t>Erll</w:t>
      </w:r>
      <w:proofErr w:type="spellEnd"/>
      <w:r w:rsidRPr="0065697D">
        <w:rPr>
          <w:rFonts w:cs="Arial"/>
          <w:sz w:val="20"/>
          <w:szCs w:val="20"/>
          <w:lang w:val="de-DE" w:eastAsia="de-DE"/>
        </w:rPr>
        <w:t xml:space="preserve"> &amp; A. </w:t>
      </w:r>
      <w:proofErr w:type="spellStart"/>
      <w:r w:rsidRPr="0065697D">
        <w:rPr>
          <w:rFonts w:cs="Arial"/>
          <w:sz w:val="20"/>
          <w:szCs w:val="20"/>
          <w:lang w:val="de-DE" w:eastAsia="de-DE"/>
        </w:rPr>
        <w:t>Nünning</w:t>
      </w:r>
      <w:proofErr w:type="spellEnd"/>
      <w:r w:rsidRPr="0065697D">
        <w:rPr>
          <w:rFonts w:cs="Arial"/>
          <w:sz w:val="20"/>
          <w:szCs w:val="20"/>
          <w:lang w:val="de-DE" w:eastAsia="de-DE"/>
        </w:rPr>
        <w:t xml:space="preserve">. </w:t>
      </w:r>
      <w:r w:rsidRPr="00BF28CA">
        <w:rPr>
          <w:rFonts w:cs="Arial"/>
          <w:sz w:val="20"/>
          <w:szCs w:val="20"/>
          <w:lang w:eastAsia="de-DE"/>
        </w:rPr>
        <w:t>(</w:t>
      </w:r>
      <w:proofErr w:type="spellStart"/>
      <w:r w:rsidRPr="00BF28CA">
        <w:rPr>
          <w:rFonts w:cs="Arial"/>
          <w:sz w:val="20"/>
          <w:szCs w:val="20"/>
          <w:lang w:eastAsia="de-DE"/>
        </w:rPr>
        <w:t>eds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). </w:t>
      </w:r>
      <w:r w:rsidRPr="00BF28CA">
        <w:rPr>
          <w:rFonts w:cs="Arial"/>
          <w:i/>
          <w:sz w:val="20"/>
          <w:szCs w:val="20"/>
          <w:lang w:eastAsia="de-DE"/>
        </w:rPr>
        <w:t>A Companion to cultural memory studies</w:t>
      </w:r>
      <w:r w:rsidRPr="00BF28CA">
        <w:rPr>
          <w:rFonts w:cs="Arial"/>
          <w:sz w:val="20"/>
          <w:szCs w:val="20"/>
          <w:lang w:eastAsia="de-DE"/>
        </w:rPr>
        <w:t>. de Gruyter. 97-108.</w:t>
      </w:r>
    </w:p>
    <w:p w14:paraId="259977DA" w14:textId="77777777" w:rsidR="00BF28CA" w:rsidRPr="00BF28CA" w:rsidRDefault="00BF28CA" w:rsidP="00861259">
      <w:pPr>
        <w:overflowPunct w:val="0"/>
        <w:spacing w:after="0" w:line="240" w:lineRule="auto"/>
        <w:ind w:left="284" w:hanging="284"/>
        <w:jc w:val="both"/>
        <w:rPr>
          <w:rFonts w:eastAsia="Arial" w:cs="Arial"/>
          <w:sz w:val="20"/>
          <w:szCs w:val="20"/>
          <w:shd w:val="clear" w:color="auto" w:fill="FFFFFF"/>
        </w:rPr>
      </w:pPr>
      <w:proofErr w:type="spellStart"/>
      <w:r w:rsidRPr="00BF28CA">
        <w:rPr>
          <w:rFonts w:eastAsia="Arial" w:cs="Arial"/>
          <w:sz w:val="20"/>
          <w:szCs w:val="20"/>
          <w:shd w:val="clear" w:color="auto" w:fill="FFFFFF"/>
        </w:rPr>
        <w:lastRenderedPageBreak/>
        <w:t>Azaryahu</w:t>
      </w:r>
      <w:proofErr w:type="spellEnd"/>
      <w:r w:rsidRPr="00BF28CA">
        <w:rPr>
          <w:rFonts w:eastAsia="Arial" w:cs="Arial"/>
          <w:sz w:val="20"/>
          <w:szCs w:val="20"/>
          <w:shd w:val="clear" w:color="auto" w:fill="FFFFFF"/>
        </w:rPr>
        <w:t>, M. 1986. “</w:t>
      </w:r>
      <w:r w:rsidRPr="00BF28CA">
        <w:rPr>
          <w:rFonts w:cs="Arial"/>
          <w:sz w:val="20"/>
          <w:szCs w:val="20"/>
        </w:rPr>
        <w:t xml:space="preserve">Street Names and Political Identity: The Case of East Berlin”. </w:t>
      </w:r>
      <w:r w:rsidRPr="00BF28CA">
        <w:rPr>
          <w:rFonts w:cs="Arial"/>
          <w:i/>
          <w:sz w:val="20"/>
          <w:szCs w:val="20"/>
        </w:rPr>
        <w:t>Journal of Contemporary History</w:t>
      </w:r>
      <w:r w:rsidRPr="00BF28CA">
        <w:rPr>
          <w:rFonts w:cs="Arial"/>
          <w:sz w:val="20"/>
          <w:szCs w:val="20"/>
        </w:rPr>
        <w:t xml:space="preserve"> 21: 581-604.</w:t>
      </w:r>
    </w:p>
    <w:p w14:paraId="0B97AD15" w14:textId="77777777" w:rsidR="00BF28CA" w:rsidRPr="00BF28CA" w:rsidRDefault="00BF28CA" w:rsidP="00861259">
      <w:p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BF28CA">
        <w:rPr>
          <w:rFonts w:cs="Arial"/>
          <w:sz w:val="20"/>
          <w:szCs w:val="20"/>
        </w:rPr>
        <w:t>Azaryahu</w:t>
      </w:r>
      <w:proofErr w:type="spellEnd"/>
      <w:r w:rsidRPr="00BF28CA">
        <w:rPr>
          <w:rFonts w:cs="Arial"/>
          <w:sz w:val="20"/>
          <w:szCs w:val="20"/>
        </w:rPr>
        <w:t xml:space="preserve">, M. 1996. “The power of commemorative street names”. </w:t>
      </w:r>
      <w:r w:rsidRPr="00BF28CA">
        <w:rPr>
          <w:rFonts w:cs="Arial"/>
          <w:i/>
          <w:sz w:val="20"/>
          <w:szCs w:val="20"/>
        </w:rPr>
        <w:t>Environment and Planning D</w:t>
      </w:r>
      <w:r w:rsidRPr="00BF28CA">
        <w:rPr>
          <w:rFonts w:cs="Arial"/>
          <w:sz w:val="20"/>
          <w:szCs w:val="20"/>
        </w:rPr>
        <w:t xml:space="preserve"> 14: 311–330. </w:t>
      </w:r>
    </w:p>
    <w:p w14:paraId="54D7ABA9" w14:textId="77777777" w:rsidR="00BF28CA" w:rsidRPr="00BF28CA" w:rsidRDefault="00BF28CA" w:rsidP="00861259">
      <w:pPr>
        <w:overflowPunct w:val="0"/>
        <w:spacing w:after="0" w:line="240" w:lineRule="auto"/>
        <w:ind w:left="284" w:hanging="284"/>
        <w:jc w:val="both"/>
        <w:rPr>
          <w:rFonts w:cs="Arial"/>
          <w:i/>
          <w:iCs/>
          <w:sz w:val="20"/>
          <w:szCs w:val="20"/>
        </w:rPr>
      </w:pPr>
      <w:proofErr w:type="spellStart"/>
      <w:r w:rsidRPr="00BF28CA">
        <w:rPr>
          <w:rFonts w:cs="Arial"/>
          <w:sz w:val="20"/>
          <w:szCs w:val="20"/>
        </w:rPr>
        <w:t>Azaryahu</w:t>
      </w:r>
      <w:proofErr w:type="spellEnd"/>
      <w:r w:rsidRPr="00BF28CA">
        <w:rPr>
          <w:rFonts w:cs="Arial"/>
          <w:sz w:val="20"/>
          <w:szCs w:val="20"/>
        </w:rPr>
        <w:t xml:space="preserve">, M. 1997 “German Reunification and the Politics of Street Names: The Case of East Berlin”. </w:t>
      </w:r>
      <w:r w:rsidRPr="00BF28CA">
        <w:rPr>
          <w:rFonts w:cs="Arial"/>
          <w:i/>
          <w:iCs/>
          <w:sz w:val="20"/>
          <w:szCs w:val="20"/>
        </w:rPr>
        <w:t>Political Geography</w:t>
      </w:r>
      <w:r w:rsidRPr="00BF28CA">
        <w:rPr>
          <w:rFonts w:cs="Arial"/>
          <w:sz w:val="20"/>
          <w:szCs w:val="20"/>
        </w:rPr>
        <w:t xml:space="preserve"> 16: 479–93.</w:t>
      </w:r>
    </w:p>
    <w:p w14:paraId="70E1529A" w14:textId="77777777" w:rsidR="00BF28CA" w:rsidRPr="00BF28CA" w:rsidRDefault="00BF28CA" w:rsidP="00861259">
      <w:pPr>
        <w:shd w:val="clear" w:color="auto" w:fill="FFFFFF"/>
        <w:spacing w:after="0" w:line="240" w:lineRule="auto"/>
        <w:ind w:left="284" w:hanging="284"/>
        <w:jc w:val="both"/>
        <w:outlineLvl w:val="0"/>
        <w:rPr>
          <w:rFonts w:cs="Arial"/>
          <w:sz w:val="20"/>
          <w:szCs w:val="20"/>
        </w:rPr>
      </w:pPr>
      <w:proofErr w:type="spellStart"/>
      <w:r w:rsidRPr="00BF28CA">
        <w:rPr>
          <w:rFonts w:cs="Arial"/>
          <w:sz w:val="20"/>
          <w:szCs w:val="20"/>
        </w:rPr>
        <w:t>Azaryahu</w:t>
      </w:r>
      <w:proofErr w:type="spellEnd"/>
      <w:r w:rsidRPr="00BF28CA">
        <w:rPr>
          <w:rFonts w:cs="Arial"/>
          <w:sz w:val="20"/>
          <w:szCs w:val="20"/>
        </w:rPr>
        <w:t>, M . 2011a. “The Politics of Commemorative Street Renaming: Berlin 1945–1948”. Journal of Historical Geography 37:483-492.</w:t>
      </w:r>
    </w:p>
    <w:p w14:paraId="0F2AC07B" w14:textId="77777777" w:rsidR="00BF28CA" w:rsidRPr="00BF28CA" w:rsidRDefault="00BF28CA" w:rsidP="00861259">
      <w:pPr>
        <w:shd w:val="clear" w:color="auto" w:fill="FFFFFF"/>
        <w:spacing w:after="0" w:line="240" w:lineRule="auto"/>
        <w:ind w:left="284" w:hanging="284"/>
        <w:jc w:val="both"/>
        <w:outlineLvl w:val="0"/>
        <w:rPr>
          <w:rFonts w:cs="Arial"/>
          <w:sz w:val="20"/>
          <w:szCs w:val="20"/>
        </w:rPr>
      </w:pPr>
      <w:proofErr w:type="spellStart"/>
      <w:r w:rsidRPr="00BF28CA">
        <w:rPr>
          <w:rFonts w:cs="Arial"/>
          <w:sz w:val="20"/>
          <w:szCs w:val="20"/>
        </w:rPr>
        <w:t>Azaryahu</w:t>
      </w:r>
      <w:proofErr w:type="spellEnd"/>
      <w:r w:rsidRPr="00BF28CA">
        <w:rPr>
          <w:rFonts w:cs="Arial"/>
          <w:sz w:val="20"/>
          <w:szCs w:val="20"/>
        </w:rPr>
        <w:t xml:space="preserve">, M . </w:t>
      </w:r>
      <w:r w:rsidRPr="00BF28CA">
        <w:rPr>
          <w:rFonts w:eastAsia="Times New Roman" w:cs="Arial"/>
          <w:kern w:val="36"/>
          <w:sz w:val="20"/>
          <w:szCs w:val="20"/>
          <w:lang w:eastAsia="en-GB"/>
        </w:rPr>
        <w:t xml:space="preserve">2011b. “The Critical Turn and Beyond: The Case of Commemorative Street Naming”. </w:t>
      </w:r>
      <w:r w:rsidRPr="00BF28CA">
        <w:rPr>
          <w:rFonts w:eastAsia="Times New Roman" w:cs="Arial"/>
          <w:i/>
          <w:kern w:val="36"/>
          <w:sz w:val="20"/>
          <w:szCs w:val="20"/>
          <w:lang w:eastAsia="en-GB"/>
        </w:rPr>
        <w:t xml:space="preserve">ACME. </w:t>
      </w:r>
      <w:r w:rsidRPr="00BF28CA">
        <w:rPr>
          <w:rFonts w:cs="Arial"/>
          <w:i/>
          <w:sz w:val="20"/>
          <w:szCs w:val="20"/>
        </w:rPr>
        <w:t xml:space="preserve">An International E-Journal for Critical Geographies </w:t>
      </w:r>
      <w:r w:rsidRPr="00BF28CA">
        <w:rPr>
          <w:rFonts w:cs="Arial"/>
          <w:sz w:val="20"/>
          <w:szCs w:val="20"/>
        </w:rPr>
        <w:t>10: 28-33.</w:t>
      </w:r>
    </w:p>
    <w:p w14:paraId="7626DCC3" w14:textId="77777777" w:rsidR="00BF28CA" w:rsidRPr="00BF28CA" w:rsidRDefault="00BF28CA" w:rsidP="00861259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de-DE"/>
        </w:rPr>
      </w:pPr>
      <w:proofErr w:type="spellStart"/>
      <w:r w:rsidRPr="00BF28CA">
        <w:rPr>
          <w:rFonts w:cs="Arial"/>
          <w:sz w:val="20"/>
          <w:szCs w:val="20"/>
          <w:lang w:eastAsia="de-DE"/>
        </w:rPr>
        <w:t>Connerton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, P. 2008. “Seven types of forgetting.” </w:t>
      </w:r>
      <w:r w:rsidRPr="00BF28CA">
        <w:rPr>
          <w:rFonts w:cs="Arial"/>
          <w:i/>
          <w:sz w:val="20"/>
          <w:szCs w:val="20"/>
          <w:lang w:eastAsia="de-DE"/>
        </w:rPr>
        <w:t>Memory Studies</w:t>
      </w:r>
      <w:r w:rsidRPr="00BF28CA">
        <w:rPr>
          <w:rFonts w:cs="Arial"/>
          <w:sz w:val="20"/>
          <w:szCs w:val="20"/>
          <w:lang w:eastAsia="de-DE"/>
        </w:rPr>
        <w:t xml:space="preserve"> 1: 59-71.</w:t>
      </w:r>
    </w:p>
    <w:p w14:paraId="4BF019E1" w14:textId="77777777" w:rsidR="00BF28CA" w:rsidRPr="00BF28CA" w:rsidRDefault="00BF28CA" w:rsidP="00861259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val="de-DE"/>
        </w:rPr>
      </w:pPr>
      <w:proofErr w:type="spellStart"/>
      <w:r w:rsidRPr="00BF28CA">
        <w:rPr>
          <w:rFonts w:cs="Arial"/>
          <w:sz w:val="20"/>
          <w:szCs w:val="20"/>
          <w:lang w:val="pl-PL"/>
        </w:rPr>
        <w:t>Kaltenberg</w:t>
      </w:r>
      <w:proofErr w:type="spellEnd"/>
      <w:r w:rsidRPr="00BF28CA">
        <w:rPr>
          <w:rFonts w:cs="Arial"/>
          <w:sz w:val="20"/>
          <w:szCs w:val="20"/>
          <w:lang w:val="pl-PL"/>
        </w:rPr>
        <w:t xml:space="preserve">-Kwiatkowska E. 2011. “O oznaczaniu i naznaczaniu przestrzeni miasta”. </w:t>
      </w:r>
      <w:proofErr w:type="spellStart"/>
      <w:r w:rsidRPr="00BF28CA">
        <w:rPr>
          <w:rFonts w:cs="Arial"/>
          <w:sz w:val="20"/>
          <w:szCs w:val="20"/>
          <w:lang w:val="de-DE"/>
        </w:rPr>
        <w:t>Przegląd</w:t>
      </w:r>
      <w:proofErr w:type="spellEnd"/>
      <w:r w:rsidRPr="00BF28CA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BF28CA">
        <w:rPr>
          <w:rFonts w:cs="Arial"/>
          <w:sz w:val="20"/>
          <w:szCs w:val="20"/>
          <w:lang w:val="de-DE"/>
        </w:rPr>
        <w:t>Socjologiczny</w:t>
      </w:r>
      <w:proofErr w:type="spellEnd"/>
      <w:r w:rsidRPr="00BF28CA">
        <w:rPr>
          <w:rFonts w:cs="Arial"/>
          <w:sz w:val="20"/>
          <w:szCs w:val="20"/>
          <w:lang w:val="de-DE"/>
        </w:rPr>
        <w:t xml:space="preserve"> 60: 135-165.</w:t>
      </w:r>
    </w:p>
    <w:p w14:paraId="551D9C16" w14:textId="77777777" w:rsidR="00BF28CA" w:rsidRPr="0065697D" w:rsidRDefault="00BF28CA" w:rsidP="00861259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val="de-DE"/>
        </w:rPr>
      </w:pPr>
      <w:proofErr w:type="spellStart"/>
      <w:r w:rsidRPr="00BF28CA">
        <w:rPr>
          <w:rFonts w:cs="Arial"/>
          <w:sz w:val="20"/>
          <w:szCs w:val="20"/>
          <w:lang w:val="de-DE"/>
        </w:rPr>
        <w:t>Moszberger</w:t>
      </w:r>
      <w:proofErr w:type="spellEnd"/>
      <w:r w:rsidRPr="00BF28CA">
        <w:rPr>
          <w:rFonts w:cs="Arial"/>
          <w:sz w:val="20"/>
          <w:szCs w:val="20"/>
          <w:lang w:val="de-DE"/>
        </w:rPr>
        <w:t xml:space="preserve">, M., T. Rieger &amp; L. </w:t>
      </w:r>
      <w:proofErr w:type="spellStart"/>
      <w:r w:rsidRPr="00BF28CA">
        <w:rPr>
          <w:rFonts w:cs="Arial"/>
          <w:sz w:val="20"/>
          <w:szCs w:val="20"/>
          <w:lang w:val="de-DE"/>
        </w:rPr>
        <w:t>Daul</w:t>
      </w:r>
      <w:proofErr w:type="spellEnd"/>
      <w:r w:rsidRPr="00BF28CA">
        <w:rPr>
          <w:rFonts w:cs="Arial"/>
          <w:sz w:val="20"/>
          <w:szCs w:val="20"/>
          <w:lang w:val="de-DE"/>
        </w:rPr>
        <w:t xml:space="preserve">. 2002. </w:t>
      </w:r>
      <w:proofErr w:type="spellStart"/>
      <w:r w:rsidRPr="00BF28CA">
        <w:rPr>
          <w:rFonts w:cs="Arial"/>
          <w:sz w:val="20"/>
          <w:szCs w:val="20"/>
          <w:lang w:val="de-DE"/>
        </w:rPr>
        <w:t>Dictionnaire</w:t>
      </w:r>
      <w:proofErr w:type="spellEnd"/>
      <w:r w:rsidRPr="00BF28CA">
        <w:rPr>
          <w:rFonts w:cs="Arial"/>
          <w:sz w:val="20"/>
          <w:szCs w:val="20"/>
          <w:lang w:val="de-DE"/>
        </w:rPr>
        <w:t xml:space="preserve"> </w:t>
      </w:r>
      <w:proofErr w:type="spellStart"/>
      <w:r w:rsidRPr="00BF28CA">
        <w:rPr>
          <w:rFonts w:cs="Arial"/>
          <w:sz w:val="20"/>
          <w:szCs w:val="20"/>
          <w:lang w:val="de-DE"/>
        </w:rPr>
        <w:t>historique</w:t>
      </w:r>
      <w:proofErr w:type="spellEnd"/>
      <w:r w:rsidRPr="00BF28CA">
        <w:rPr>
          <w:rFonts w:cs="Arial"/>
          <w:sz w:val="20"/>
          <w:szCs w:val="20"/>
          <w:lang w:val="de-DE"/>
        </w:rPr>
        <w:t xml:space="preserve"> des </w:t>
      </w:r>
      <w:proofErr w:type="spellStart"/>
      <w:r w:rsidRPr="00BF28CA">
        <w:rPr>
          <w:rFonts w:cs="Arial"/>
          <w:sz w:val="20"/>
          <w:szCs w:val="20"/>
          <w:lang w:val="de-DE"/>
        </w:rPr>
        <w:t>rues</w:t>
      </w:r>
      <w:proofErr w:type="spellEnd"/>
      <w:r w:rsidRPr="00BF28CA">
        <w:rPr>
          <w:rFonts w:cs="Arial"/>
          <w:sz w:val="20"/>
          <w:szCs w:val="20"/>
          <w:lang w:val="de-DE"/>
        </w:rPr>
        <w:t xml:space="preserve"> de Strasbourg. </w:t>
      </w:r>
      <w:proofErr w:type="spellStart"/>
      <w:r w:rsidRPr="0065697D">
        <w:rPr>
          <w:rFonts w:cs="Arial"/>
          <w:sz w:val="20"/>
          <w:szCs w:val="20"/>
          <w:lang w:val="de-DE"/>
        </w:rPr>
        <w:t>Illkirch</w:t>
      </w:r>
      <w:proofErr w:type="spellEnd"/>
      <w:r w:rsidRPr="0065697D">
        <w:rPr>
          <w:rFonts w:cs="Arial"/>
          <w:sz w:val="20"/>
          <w:szCs w:val="20"/>
          <w:lang w:val="de-DE"/>
        </w:rPr>
        <w:t xml:space="preserve">. </w:t>
      </w:r>
      <w:proofErr w:type="spellStart"/>
      <w:r w:rsidRPr="0065697D">
        <w:rPr>
          <w:rFonts w:cs="Arial"/>
          <w:sz w:val="20"/>
          <w:szCs w:val="20"/>
          <w:lang w:val="de-DE"/>
        </w:rPr>
        <w:t>Verger</w:t>
      </w:r>
      <w:proofErr w:type="spellEnd"/>
      <w:r w:rsidRPr="0065697D">
        <w:rPr>
          <w:rFonts w:cs="Arial"/>
          <w:sz w:val="20"/>
          <w:szCs w:val="20"/>
          <w:lang w:val="de-DE"/>
        </w:rPr>
        <w:t>.</w:t>
      </w:r>
    </w:p>
    <w:p w14:paraId="6BF9DF8A" w14:textId="77777777" w:rsidR="00BF28CA" w:rsidRPr="00BF28CA" w:rsidRDefault="00BF28CA" w:rsidP="00861259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de-DE"/>
        </w:rPr>
      </w:pPr>
      <w:proofErr w:type="spellStart"/>
      <w:r w:rsidRPr="00BF28CA">
        <w:rPr>
          <w:rFonts w:cs="Arial"/>
          <w:sz w:val="20"/>
          <w:szCs w:val="20"/>
          <w:lang w:eastAsia="de-DE"/>
        </w:rPr>
        <w:t>Trumper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-Hecht, N. 2009. “Constructing national identity in mixed cities in Israel: Arabic on signs  in the public space of Upper Nazareth”. In E. </w:t>
      </w:r>
      <w:proofErr w:type="spellStart"/>
      <w:r w:rsidRPr="00BF28CA">
        <w:rPr>
          <w:rFonts w:cs="Arial"/>
          <w:sz w:val="20"/>
          <w:szCs w:val="20"/>
          <w:lang w:eastAsia="de-DE"/>
        </w:rPr>
        <w:t>Shohamy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 &amp; D. </w:t>
      </w:r>
      <w:proofErr w:type="spellStart"/>
      <w:r w:rsidRPr="00BF28CA">
        <w:rPr>
          <w:rFonts w:cs="Arial"/>
          <w:sz w:val="20"/>
          <w:szCs w:val="20"/>
          <w:lang w:eastAsia="de-DE"/>
        </w:rPr>
        <w:t>Gorter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. </w:t>
      </w:r>
      <w:r w:rsidRPr="00BF28CA">
        <w:rPr>
          <w:rFonts w:cs="Arial"/>
          <w:i/>
          <w:sz w:val="20"/>
          <w:szCs w:val="20"/>
          <w:lang w:eastAsia="de-DE"/>
        </w:rPr>
        <w:t xml:space="preserve">Linguistic landscape: Expanding the scenery. </w:t>
      </w:r>
      <w:r w:rsidRPr="00BF28CA">
        <w:rPr>
          <w:rFonts w:cs="Arial"/>
          <w:sz w:val="20"/>
          <w:szCs w:val="20"/>
          <w:lang w:eastAsia="de-DE"/>
        </w:rPr>
        <w:t>Routledge. 238-252</w:t>
      </w:r>
    </w:p>
    <w:p w14:paraId="6C01B262" w14:textId="77777777" w:rsidR="00BF28CA" w:rsidRPr="00BF28CA" w:rsidRDefault="00BF28CA" w:rsidP="00861259">
      <w:pPr>
        <w:tabs>
          <w:tab w:val="left" w:pos="723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de-DE"/>
        </w:rPr>
      </w:pPr>
      <w:proofErr w:type="spellStart"/>
      <w:r w:rsidRPr="00BF28CA">
        <w:rPr>
          <w:rFonts w:cs="Arial"/>
          <w:sz w:val="20"/>
          <w:szCs w:val="20"/>
          <w:lang w:eastAsia="de-DE"/>
        </w:rPr>
        <w:t>Wodak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, R. &amp; M. Meyer. 2009. </w:t>
      </w:r>
      <w:r w:rsidRPr="00BF28CA">
        <w:rPr>
          <w:rFonts w:cs="Arial"/>
          <w:i/>
          <w:sz w:val="20"/>
          <w:szCs w:val="20"/>
          <w:lang w:eastAsia="de-DE"/>
        </w:rPr>
        <w:t xml:space="preserve">Methods of Critical </w:t>
      </w:r>
      <w:proofErr w:type="spellStart"/>
      <w:r w:rsidRPr="00BF28CA">
        <w:rPr>
          <w:rFonts w:cs="Arial"/>
          <w:i/>
          <w:sz w:val="20"/>
          <w:szCs w:val="20"/>
          <w:lang w:eastAsia="de-DE"/>
        </w:rPr>
        <w:t>Disourse</w:t>
      </w:r>
      <w:proofErr w:type="spellEnd"/>
      <w:r w:rsidRPr="00BF28CA">
        <w:rPr>
          <w:rFonts w:cs="Arial"/>
          <w:i/>
          <w:sz w:val="20"/>
          <w:szCs w:val="20"/>
          <w:lang w:eastAsia="de-DE"/>
        </w:rPr>
        <w:t xml:space="preserve"> Analysis</w:t>
      </w:r>
      <w:r w:rsidRPr="00BF28CA">
        <w:rPr>
          <w:rFonts w:cs="Arial"/>
          <w:sz w:val="20"/>
          <w:szCs w:val="20"/>
          <w:lang w:eastAsia="de-DE"/>
        </w:rPr>
        <w:t>. Sage.</w:t>
      </w:r>
    </w:p>
    <w:p w14:paraId="1825402E" w14:textId="77777777" w:rsidR="00747979" w:rsidRDefault="00BF28CA" w:rsidP="00861259">
      <w:pPr>
        <w:tabs>
          <w:tab w:val="left" w:pos="723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de-DE"/>
        </w:rPr>
      </w:pPr>
      <w:proofErr w:type="spellStart"/>
      <w:r w:rsidRPr="00BF28CA">
        <w:rPr>
          <w:rFonts w:cs="Arial"/>
          <w:sz w:val="20"/>
          <w:szCs w:val="20"/>
          <w:lang w:eastAsia="de-DE"/>
        </w:rPr>
        <w:t>Wodak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, R. &amp; B. </w:t>
      </w:r>
      <w:proofErr w:type="spellStart"/>
      <w:r w:rsidRPr="00BF28CA">
        <w:rPr>
          <w:rFonts w:cs="Arial"/>
          <w:sz w:val="20"/>
          <w:szCs w:val="20"/>
          <w:lang w:eastAsia="de-DE"/>
        </w:rPr>
        <w:t>Forchtner</w:t>
      </w:r>
      <w:proofErr w:type="spellEnd"/>
      <w:r w:rsidRPr="00BF28CA">
        <w:rPr>
          <w:rFonts w:cs="Arial"/>
          <w:sz w:val="20"/>
          <w:szCs w:val="20"/>
          <w:lang w:eastAsia="de-DE"/>
        </w:rPr>
        <w:t xml:space="preserve">. 2014. “Embattled Vienna 1683/2010: right-wing populism, collective memory and the fictionalisation of politics.” </w:t>
      </w:r>
      <w:r w:rsidRPr="00BF28CA">
        <w:rPr>
          <w:rFonts w:cs="Arial"/>
          <w:i/>
          <w:sz w:val="20"/>
          <w:szCs w:val="20"/>
          <w:lang w:eastAsia="de-DE"/>
        </w:rPr>
        <w:t>Visual Communication</w:t>
      </w:r>
      <w:r w:rsidRPr="00BF28CA">
        <w:rPr>
          <w:rFonts w:cs="Arial"/>
          <w:sz w:val="20"/>
          <w:szCs w:val="20"/>
          <w:lang w:eastAsia="de-DE"/>
        </w:rPr>
        <w:t xml:space="preserve"> 13: 231-255.</w:t>
      </w:r>
    </w:p>
    <w:p w14:paraId="0790E825" w14:textId="5208E96D" w:rsidR="007B603E" w:rsidRPr="00BF28CA" w:rsidRDefault="007B603E" w:rsidP="00861259">
      <w:pPr>
        <w:tabs>
          <w:tab w:val="left" w:pos="723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de-DE"/>
        </w:rPr>
      </w:pPr>
    </w:p>
    <w:sectPr w:rsidR="007B603E" w:rsidRPr="00BF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C3E59"/>
    <w:multiLevelType w:val="multilevel"/>
    <w:tmpl w:val="561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C7A0F"/>
    <w:multiLevelType w:val="multilevel"/>
    <w:tmpl w:val="D2D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23"/>
    <w:rsid w:val="000B0562"/>
    <w:rsid w:val="0039227B"/>
    <w:rsid w:val="00425E74"/>
    <w:rsid w:val="0053348B"/>
    <w:rsid w:val="0065697D"/>
    <w:rsid w:val="00717344"/>
    <w:rsid w:val="00747979"/>
    <w:rsid w:val="00770050"/>
    <w:rsid w:val="007841E6"/>
    <w:rsid w:val="007B603E"/>
    <w:rsid w:val="00861259"/>
    <w:rsid w:val="00AD1223"/>
    <w:rsid w:val="00BC7BD9"/>
    <w:rsid w:val="00BF28CA"/>
    <w:rsid w:val="00D1461F"/>
    <w:rsid w:val="00E34C25"/>
    <w:rsid w:val="00E43932"/>
    <w:rsid w:val="00E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3F204"/>
  <w15:chartTrackingRefBased/>
  <w15:docId w15:val="{7006E3A1-3539-41B8-9B6D-912202F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qFormat/>
    <w:rsid w:val="000B0562"/>
  </w:style>
  <w:style w:type="character" w:styleId="Emphasis">
    <w:name w:val="Emphasis"/>
    <w:qFormat/>
    <w:rsid w:val="000B0562"/>
    <w:rPr>
      <w:i/>
      <w:iCs/>
    </w:rPr>
  </w:style>
  <w:style w:type="paragraph" w:styleId="ListParagraph">
    <w:name w:val="List Paragraph"/>
    <w:basedOn w:val="Normal"/>
    <w:uiPriority w:val="34"/>
    <w:qFormat/>
    <w:rsid w:val="0053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C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C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banlanguage2018.uni-graz.at/en/abstr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Microsoft Office User</cp:lastModifiedBy>
  <cp:revision>2</cp:revision>
  <dcterms:created xsi:type="dcterms:W3CDTF">2021-06-10T09:41:00Z</dcterms:created>
  <dcterms:modified xsi:type="dcterms:W3CDTF">2021-06-10T09:41:00Z</dcterms:modified>
</cp:coreProperties>
</file>